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media/image9.png" ContentType="image/png"/>
  <Override PartName="/word/media/image1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reprincipal"/>
      </w:pPr>
      <w:r>
        <w:t xml:space="preserve">Bilan</w:t>
      </w:r>
      <w:r>
        <w:t xml:space="preserve"> </w:t>
      </w:r>
      <w:r>
        <w:t xml:space="preserve">économique</w:t>
      </w:r>
      <w:r>
        <w:t xml:space="preserve"> </w:t>
      </w:r>
      <w:r>
        <w:t xml:space="preserve">et</w:t>
      </w:r>
      <w:r>
        <w:t xml:space="preserve"> </w:t>
      </w:r>
      <w:r>
        <w:t xml:space="preserve">social</w:t>
      </w:r>
      <w:r>
        <w:t xml:space="preserve"> </w:t>
      </w:r>
      <w:r>
        <w:t xml:space="preserve">régional</w:t>
      </w:r>
    </w:p>
    <w:p>
      <w:pPr>
        <w:pStyle w:val="Subtitle"/>
      </w:pPr>
      <w:r>
        <w:t xml:space="preserve">Pages</w:t>
      </w:r>
      <w:r>
        <w:t xml:space="preserve"> </w:t>
      </w:r>
      <w:r>
        <w:t xml:space="preserve">énergie</w:t>
      </w:r>
      <w:r>
        <w:t xml:space="preserve"> </w:t>
      </w:r>
      <w:r>
        <w:t xml:space="preserve">climat</w:t>
      </w:r>
      <w:r>
        <w:t xml:space="preserve"> </w:t>
      </w:r>
      <w:r>
        <w:t xml:space="preserve">air</w:t>
      </w:r>
    </w:p>
    <w:p>
      <w:pPr>
        <w:pStyle w:val="Author"/>
      </w:pPr>
      <w:r>
        <w:t xml:space="preserve">Juliette</w:t>
      </w:r>
      <w:r>
        <w:t xml:space="preserve"> </w:t>
      </w:r>
      <w:r>
        <w:t xml:space="preserve">Engelaere-Lefebvre</w:t>
      </w:r>
    </w:p>
    <w:p>
      <w:pPr>
        <w:pStyle w:val="Date"/>
      </w:pPr>
      <w:r>
        <w:t xml:space="preserve">15/03/2021</w:t>
      </w:r>
      <w:r>
        <w:t xml:space="preserve"> </w:t>
      </w:r>
      <w:r>
        <w:t xml:space="preserve">(actualisé</w:t>
      </w:r>
      <w:r>
        <w:t xml:space="preserve"> </w:t>
      </w:r>
      <w:r>
        <w:t xml:space="preserve">:</w:t>
      </w:r>
      <w:r>
        <w:t xml:space="preserve"> </w:t>
      </w:r>
      <w:r>
        <w:t xml:space="preserve">09/04/2021)</w:t>
      </w:r>
    </w:p>
    <w:p>
      <w:pPr>
        <w:pStyle w:val="Titre1"/>
      </w:pPr>
      <w:bookmarkStart w:id="20" w:name="chargement-des-données"/>
      <w:r>
        <w:t xml:space="preserve">Chargement des données</w:t>
      </w:r>
      <w:bookmarkEnd w:id="20"/>
    </w:p>
    <w:p>
      <w:pPr>
        <w:pStyle w:val="Titre2"/>
      </w:pPr>
      <w:bookmarkStart w:id="21" w:name="dju-indice-de-rigueur"/>
      <w:r>
        <w:t xml:space="preserve">DJU indice de rigueur</w:t>
      </w:r>
      <w:bookmarkEnd w:id="21"/>
    </w:p>
    <w:p>
      <w:pPr>
        <w:pStyle w:val="FirstParagraph"/>
      </w:pPr>
      <w:r>
        <w:t xml:space="preserve">Le SDES publie les DJU annuels nationaux, régionaux et départementaux qui permettent de construire un indice de rigueur.</w:t>
      </w:r>
    </w:p>
    <w:p>
      <w:pPr>
        <w:pStyle w:val="Corpsdetexte"/>
      </w:pPr>
      <w:hyperlink r:id="rId22">
        <w:r>
          <w:rPr>
            <w:rStyle w:val="Hyperlink"/>
          </w:rPr>
          <w:t xml:space="preserve">Lien vers la rubrique.</w:t>
        </w:r>
      </w:hyperlink>
    </w:p>
    <w:p>
      <w:pPr>
        <w:pStyle w:val="Corpsdetexte"/>
      </w:pPr>
      <w:r>
        <w:rPr>
          <w:b/>
        </w:rPr>
        <w:t xml:space="preserve">Faits marquants Météo France</w:t>
      </w:r>
      <w:r>
        <w:t xml:space="preserve"> </w:t>
      </w:r>
      <w:r>
        <w:t xml:space="preserve">:</w:t>
      </w:r>
      <w:r>
        <w:br/>
      </w:r>
      <w:r>
        <w:rPr>
          <w:b/>
        </w:rPr>
        <w:t xml:space="preserve">Pays de la Loire</w:t>
      </w:r>
      <w:r>
        <w:t xml:space="preserve"> </w:t>
      </w:r>
      <w:r>
        <w:t xml:space="preserve">: 2020 Année la plus chaude de l’ouest depuis 1959. 1.5 à 2° de plus en moyenne annuelle.</w:t>
      </w:r>
      <w:r>
        <w:t xml:space="preserve"> </w:t>
      </w:r>
      <w:r>
        <w:t xml:space="preserve">Particulièrement, pendant la saison de chauffe, les mois de Janvier, février avril, nov et décembre ont été doux à exceptionnellement doux.</w:t>
      </w:r>
      <w:r>
        <w:t xml:space="preserve"> </w:t>
      </w:r>
      <w:r>
        <w:t xml:space="preserve">L’indice de rigueur climatique est particulièrement faible, le plus faible depuis 2011, légèrement en deçà de celui de 2014.</w:t>
      </w:r>
    </w:p>
    <w:p>
      <w:pPr>
        <w:pStyle w:val="Corpsdetexte"/>
      </w:pPr>
      <w:r>
        <w:rPr>
          <w:b/>
        </w:rPr>
        <w:t xml:space="preserve">France</w:t>
      </w:r>
      <w:r>
        <w:t xml:space="preserve">, Grande douceur, 2020 au 1er rang des années les plus chaudes depuis le debut du XXe siècle.</w:t>
      </w:r>
    </w:p>
    <w:p>
      <w:pPr>
        <w:pStyle w:val="Titre2"/>
      </w:pPr>
      <w:bookmarkStart w:id="23" w:name="consommation-électrique-et-gaz"/>
      <w:r>
        <w:t xml:space="preserve">Consommation électrique et gaz :</w:t>
      </w:r>
      <w:bookmarkEnd w:id="23"/>
    </w:p>
    <w:p>
      <w:pPr>
        <w:pStyle w:val="FirstParagraph"/>
      </w:pPr>
      <w:r>
        <w:rPr>
          <w:b/>
        </w:rPr>
        <w:t xml:space="preserve">Fait marquants RTE national</w:t>
      </w:r>
      <w:r>
        <w:t xml:space="preserve"> </w:t>
      </w:r>
      <w:r>
        <w:t xml:space="preserve">:</w:t>
      </w:r>
      <w:r>
        <w:t xml:space="preserve"> </w:t>
      </w:r>
      <w:r>
        <w:t xml:space="preserve">La consommation française d’électricité ⚡ a baissé en 2020, pour atteindre son niveau le plus bas depuis 10 ans ⬇️</w:t>
      </w:r>
      <w:r>
        <w:t xml:space="preserve"> </w:t>
      </w:r>
      <w:r>
        <w:t xml:space="preserve">La crise sanitaire a eu un impact direct sur la baisse de la consommation d’électricité en 2020 : consommation en recul de 3.5% après correction de la rigueur climatique.</w:t>
      </w:r>
    </w:p>
    <w:p>
      <w:pPr>
        <w:pStyle w:val="Corpsdetexte"/>
      </w:pPr>
      <w:r>
        <w:t xml:space="preserve">Les données sont récupérées sur la plateforme opendata.reseaux-energies.fr.</w:t>
      </w:r>
      <w:r>
        <w:t xml:space="preserve"> </w:t>
      </w:r>
      <w:r>
        <w:t xml:space="preserve">source :</w:t>
      </w:r>
      <w:r>
        <w:t xml:space="preserve"> </w:t>
      </w:r>
      <w:hyperlink r:id="rId24">
        <w:r>
          <w:rPr>
            <w:rFonts w:ascii="Marianne" w:hAnsi="Marianne" w:eastAsia="Marianne" w:cs="Marianne"/>
            <w:i w:val="false"/>
            <w:b w:val="false"/>
            <w:u w:val="single"/>
            <w:sz w:val="20"/>
            <w:szCs w:val="20"/>
            <w:color w:val="000091"/>
          </w:rPr>
          <w:t xml:space="preserve">GRTgaz, RTE, Teréga</w:t>
        </w:r>
      </w:hyperlink>
    </w:p>
    <w:p>
      <w:pPr>
        <w:jc w:val="center"/>
        <w:pStyle w:val="Normal"/>
      </w:pPr>
      <w:r>
        <w:rPr/>
        <w:drawing>
          <wp:inline distT="0" distB="0" distL="0" distR="0">
            <wp:extent cx="6858000" cy="45720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6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indicateur - territoire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valeur_2020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evol_2019_2020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ecart_moy_2013_2020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électricité - 1reg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26.05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-4.2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-3.8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électricité - 2FR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449.01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-5.2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-5.5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gaz - 1reg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22.24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-3.4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gaz - 2FR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444.57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-7.2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-3.9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indice de rigueur - 1reg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-13.6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-13.5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indice de rigueur - 2FR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0.81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-10.7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-11.9</w:t>
            </w:r>
          </w:p>
        </w:tc>
      </w:tr>
    </w:tbl>
    <w:p>
      <w:pPr>
        <w:pStyle w:val="Titre2"/>
      </w:pPr>
      <w:bookmarkStart w:id="25" w:name="Xe41e54cf3c93e277f594821f2e1f3f6157ecea2"/>
      <w:r>
        <w:t xml:space="preserve">Commentaires : La douceur de l’année ainsi que la crise sanitaire font chuter les consommations d’énergie</w:t>
      </w:r>
      <w:bookmarkEnd w:id="25"/>
    </w:p>
    <w:p>
      <w:pPr>
        <w:pStyle w:val="FirstParagraph"/>
      </w:pPr>
      <w:r>
        <w:t xml:space="preserve">La consommation brute d’électricité des Pays de la Loire s’élève à 26,05 TWh pour l’année 2020.</w:t>
      </w:r>
      <w:r>
        <w:t xml:space="preserve"> </w:t>
      </w:r>
      <w:r>
        <w:t xml:space="preserve">Elle est en baisse de 4,2 % par rapport à 2019.</w:t>
      </w:r>
      <w:r>
        <w:t xml:space="preserve"> </w:t>
      </w:r>
      <w:r>
        <w:t xml:space="preserve">Cette baisse est légèrement moins importante qu’à l’échelle nationale (5,2 %) alors que l’exceptionnelle douceur du climat de 2020 y ont été comparables.</w:t>
      </w:r>
      <w:r>
        <w:t xml:space="preserve"> </w:t>
      </w:r>
      <w:r>
        <w:t xml:space="preserve">Les indices annuels de rigueur climatique y sont en effet inférieurs de 20 % aux normales et placent l’année 2020 au 1er rang des années les plus chaudes, depuis le début du XXe siècle pour la France et depuis 1959 pour la région.</w:t>
      </w:r>
      <w:r>
        <w:t xml:space="preserve"> </w:t>
      </w:r>
      <w:r>
        <w:t xml:space="preserve">Le gaz est une forme d’énergie dont l’usage est plus sensible aux évolutions climatiques. Avec 22.24 TWh pour l’année 2020, la consommation régionale brute de gaz a chuté de 9.4 % par rapport à l’année précédente.</w:t>
      </w:r>
      <w:r>
        <w:t xml:space="preserve"> </w:t>
      </w:r>
      <w:r>
        <w:t xml:space="preserve">Cette baisse est cette fois plus marquée dans notre région que pour l’ensemble de la France continentale, de 2,3 points.</w:t>
      </w:r>
      <w:r>
        <w:t xml:space="preserve"> </w:t>
      </w:r>
      <w:r>
        <w:t xml:space="preserve">A la douceur de l’année, s’ajoute le contexte sanitaire : RTE estime que la crise de la COVID19 a entraîné une baisse de 3,5 % de la consommation d’électricité nationale.</w:t>
      </w:r>
    </w:p>
    <w:p>
      <w:pPr>
        <w:pStyle w:val="Titre1"/>
      </w:pPr>
      <w:bookmarkStart w:id="26" w:name="Xc20a5591c954a183824f5e84184c4f863c6aae0"/>
      <w:r>
        <w:t xml:space="preserve">Production renouvelable biométhane et électricité</w:t>
      </w:r>
      <w:bookmarkEnd w:id="26"/>
    </w:p>
    <w:p>
      <w:pPr>
        <w:pStyle w:val="FirstParagraph"/>
      </w:pPr>
      <w:r>
        <w:t xml:space="preserve">Ce jeu de données présente les productions régionales annuelles d’énergie renouvelable en France (GWh) pour l’électricité depuis 2008 et depuis 2015 pour le gaz.</w:t>
      </w:r>
      <w:r>
        <w:br/>
      </w:r>
      <w:r>
        <w:t xml:space="preserve">Pour le biométhane, il s’agit des quantités injectées dans les réseaux de gaz (réseaux de distribution et de transport) en France comptabilisée aux points d’interfaces transport/distribution. Les injections sont donc affectées à la région du point de comptage et non à celle du site lorsque celle ci est différente.</w:t>
      </w:r>
      <w:r>
        <w:br/>
      </w:r>
      <w:r>
        <w:t xml:space="preserve">Selon l’arrêté du 8 novembre 2007 pris en application de l’article 2 du décret n° 2006-1118 du 5 septembre 2006 relatif aux garanties d’origine de l’électricité produite à partir de sources d’énergie renouvelables ou par cogénération » , la partie renouvelable est calculée comme suit :</w:t>
      </w:r>
      <w:r>
        <w:t xml:space="preserve"> </w:t>
      </w:r>
      <w:r>
        <w:t xml:space="preserve">* Hydraulique : On soustrait 70 % de la consommation liée au pompage.</w:t>
      </w:r>
      <w:r>
        <w:t xml:space="preserve"> </w:t>
      </w:r>
      <w:r>
        <w:t xml:space="preserve">* Bioénergies : La production des usines d’incinération d’ordures ménagères est comptabilisée à 50%. Les autres combustibles sont comptabilisés à 100 %</w:t>
      </w:r>
      <w:r>
        <w:t xml:space="preserve"> </w:t>
      </w:r>
      <w:r>
        <w:t xml:space="preserve">* Eolien et solaire : La production est comptabilisée à 100 %.</w:t>
      </w:r>
      <w:r>
        <w:t xml:space="preserve"> </w:t>
      </w:r>
      <w:hyperlink r:id="rId27">
        <w:r>
          <w:rPr>
            <w:rStyle w:val="Hyperlink"/>
          </w:rPr>
          <w:t xml:space="preserve">source production : GRTgaz, RTE, Teréga</w:t>
        </w:r>
      </w:hyperlink>
    </w:p>
    <w:p>
      <w:pPr>
        <w:pStyle w:val="Titre2"/>
      </w:pPr>
      <w:bookmarkStart w:id="28" w:name="recherches-documentaires"/>
      <w:r>
        <w:t xml:space="preserve">Recherches documentaires</w:t>
      </w:r>
      <w:bookmarkEnd w:id="28"/>
    </w:p>
    <w:p>
      <w:pPr>
        <w:pStyle w:val="FirstParagraph"/>
      </w:pPr>
      <w:r>
        <w:rPr>
          <w:b/>
        </w:rPr>
        <w:t xml:space="preserve">Faits marquants Météo France</w:t>
      </w:r>
      <w:r>
        <w:t xml:space="preserve"> </w:t>
      </w:r>
      <w:r>
        <w:t xml:space="preserve">: Ensoleillement plutôt à l’excédent contrairement aux vents, Fce et reg.</w:t>
      </w:r>
      <w:r>
        <w:t xml:space="preserve"> </w:t>
      </w:r>
      <w:r>
        <w:rPr>
          <w:b/>
        </w:rPr>
        <w:t xml:space="preserve">Faits marquants RTE</w:t>
      </w:r>
      <w:r>
        <w:t xml:space="preserve"> </w:t>
      </w:r>
      <w:r>
        <w:t xml:space="preserve">: Pour la première fois en 2020, l’éolien devient la troisième source d’électricité en France.</w:t>
      </w:r>
    </w:p>
    <w:p>
      <w:pPr>
        <w:pStyle w:val="Corpsdetexte"/>
      </w:pPr>
      <w:r>
        <w:rPr>
          <w:b/>
        </w:rPr>
        <w:t xml:space="preserve">Objectifs régionaux 2020 SRCAE</w:t>
      </w:r>
      <w:r>
        <w:t xml:space="preserve"> </w:t>
      </w:r>
      <w:r>
        <w:t xml:space="preserve">:</w:t>
      </w:r>
    </w:p>
    <w:p>
      <w:pPr>
        <w:pStyle w:val="Compact"/>
        <w:numPr>
          <w:numId w:val="1001"/>
          <w:ilvl w:val="0"/>
        </w:numPr>
      </w:pPr>
      <w:r>
        <w:t xml:space="preserve">330 ktep (3.8 TWh) pour l’éolien</w:t>
      </w:r>
      <w:r>
        <w:br/>
      </w:r>
    </w:p>
    <w:p>
      <w:pPr>
        <w:pStyle w:val="Compact"/>
        <w:numPr>
          <w:numId w:val="1001"/>
          <w:ilvl w:val="0"/>
        </w:numPr>
      </w:pPr>
      <w:r>
        <w:t xml:space="preserve">50 ktep (0.58 TWh) pour le solaire photovoltaïque</w:t>
      </w:r>
      <w:r>
        <w:br/>
      </w:r>
    </w:p>
    <w:p>
      <w:pPr>
        <w:pStyle w:val="Compact"/>
        <w:numPr>
          <w:numId w:val="1001"/>
          <w:ilvl w:val="0"/>
        </w:numPr>
      </w:pPr>
      <w:r>
        <w:t xml:space="preserve">2 ktep (0.025 TWh) pour l’hydro-électricité</w:t>
      </w:r>
    </w:p>
    <w:p>
      <w:pPr>
        <w:pStyle w:val="FirstParagraph"/>
      </w:pPr>
      <w:r>
        <w:rPr>
          <w:b/>
        </w:rPr>
        <w:t xml:space="preserve">Objectifs nationaux 2020</w:t>
      </w:r>
      <w:r>
        <w:t xml:space="preserve"> </w:t>
      </w:r>
      <w:r>
        <w:t xml:space="preserve">source :</w:t>
      </w:r>
      <w:r>
        <w:t xml:space="preserve"> </w:t>
      </w:r>
      <w:hyperlink r:id="rId29">
        <w:r>
          <w:rPr>
            <w:rStyle w:val="Hyperlink"/>
          </w:rPr>
          <w:t xml:space="preserve">Suivi de la directive 2009/28/CE relative à la promotion de l’utilisation des énergies renouvelables</w:t>
        </w:r>
      </w:hyperlink>
      <w:r>
        <w:t xml:space="preserve"> </w:t>
      </w:r>
      <w:r>
        <w:t xml:space="preserve">:</w:t>
      </w:r>
    </w:p>
    <w:p>
      <w:pPr>
        <w:pStyle w:val="Compact"/>
        <w:numPr>
          <w:numId w:val="1002"/>
          <w:ilvl w:val="0"/>
        </w:numPr>
      </w:pPr>
      <w:r>
        <w:t xml:space="preserve">3431 ktep (40 TWh) pour l’éolien</w:t>
      </w:r>
      <w:r>
        <w:br/>
      </w:r>
    </w:p>
    <w:p>
      <w:pPr>
        <w:pStyle w:val="Compact"/>
        <w:numPr>
          <w:numId w:val="1002"/>
          <w:ilvl w:val="0"/>
        </w:numPr>
      </w:pPr>
      <w:r>
        <w:t xml:space="preserve">509 ktep (6 TWh) pour le solaire photovoltaïque</w:t>
      </w:r>
      <w:r>
        <w:br/>
      </w:r>
    </w:p>
    <w:p>
      <w:pPr>
        <w:pStyle w:val="Compact"/>
        <w:numPr>
          <w:numId w:val="1002"/>
          <w:ilvl w:val="0"/>
        </w:numPr>
      </w:pPr>
      <w:r>
        <w:t xml:space="preserve">5541 ktep (64 TWh) pour l’hydro-électricité</w:t>
      </w:r>
    </w:p>
    <w:p>
      <w:pPr>
        <w:pStyle w:val="Titre2"/>
      </w:pPr>
      <w:bookmarkStart w:id="30" w:name="visualisations"/>
      <w:r>
        <w:t xml:space="preserve">Visualisations</w:t>
      </w:r>
      <w:bookmarkEnd w:id="30"/>
    </w:p>
    <w:p>
      <w:pPr>
        <w:jc w:val="center"/>
        <w:pStyle w:val="Normal"/>
      </w:pPr>
      <w:r>
        <w:rPr/>
        <w:drawing>
          <wp:inline distT="0" distB="0" distL="0" distR="0">
            <wp:extent cx="6858000" cy="457200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6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Titre2"/>
      </w:pPr>
      <w:bookmarkStart w:id="31" w:name="tables-danalyses"/>
      <w:r>
        <w:t xml:space="preserve">tables d’analyses</w:t>
      </w:r>
      <w:bookmarkEnd w:id="31"/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indicateur - territoire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prod TWh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part reg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2020 2019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partreg 2020 2019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2020 2011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ecart moyenne 2011-2020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obj 2020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tx realis obj 2020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eolienne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2.39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6,02 %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21,15 %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3,25 %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239,61 %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77,36 %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3.80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62,88 %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eolienne - 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39.69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17,34 %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228,72 %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74,19 %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39.90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99,48 %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solaire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0.66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5,25 %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7,7 %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5,04 %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253,76 %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54,03 %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114,36 %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solaire - 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12.63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2,53 %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510,64 %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63,02 %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5.90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214,1 %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bioenergies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5,14 %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9,24 %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9,56 %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192,14 %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40,17 %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bioenergies - 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7.59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-0,29 %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96,9 %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23,89 %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hydraulique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0,04 %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11,52 %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2,03 %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88,5 %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23,98 %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85,2 %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hydraulique - 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60.77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9,3 %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33,6 %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4,9 %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64.40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94,36 %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electrique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3.46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2,87 %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16,85 %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5,89 %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234,4 %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67,08 %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electrique - FR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120.69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10,36 %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90,1 %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27,59 %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148.00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81,54 %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totale - reg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3.65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2,97 %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18,71 %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6,83 %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252,68 %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72,86 %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totale - FR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122.89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11,12 %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93,58 %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29,26 %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</w:tr>
    </w:tbl>
    <w:p>
      <w:pPr>
        <w:pStyle w:val="FirstParagraph"/>
      </w:pPr>
      <w:r>
        <w:t xml:space="preserve">Une table séparée pour le biogaz qui a démarré plus tardivement.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autofit"/>
        <w:jc w:val="center"/>
        <w:tblLook w:firstRow="1" w:lastRow="0" w:firstColumn="0" w:lastColumn="0" w:noHBand="0" w:noVBand="1"/>
      </w:tblPr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injection de biométhane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indicateur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prod TWh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part reg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2020 2019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partreg 2020 2019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7D4E5B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FFFFFF"/>
              </w:rPr>
              <w:t xml:space="preserve">evol 2020 2015</w:t>
            </w:r>
          </w:p>
        </w:tc>
      </w:tr>
      <w:tr>
        <w:trPr>
          <w:cantSplit/>
          <w:trHeight w:val="360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Pays de la Loire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production_gaz_renouvelable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0.19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8,58 %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67,31 %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-6,39 %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3056,56 %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France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production_gaz_renouvelable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2.21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78,73 %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20" w:before="60" w:line="240"/>
              <w:ind w:firstLine="0" w:left="60" w:right="6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arianne" w:hAnsi="Marianne" w:eastAsia="Marianne" w:cs="Marianne"/>
                <w:sz w:val="20"/>
                <w:szCs w:val="20"/>
                <w:color w:val="000000"/>
              </w:rPr>
              <w:t xml:space="preserve">2602,16 %</w:t>
            </w:r>
          </w:p>
        </w:tc>
      </w:tr>
    </w:tbl>
    <w:p>
      <w:pPr>
        <w:pStyle w:val="Titre2"/>
      </w:pPr>
      <w:bookmarkStart w:id="32" w:name="X002b186c57733f4d86fa6d2b586f819a77ca019"/>
      <w:r>
        <w:t xml:space="preserve">Commentaires Les énergies renouvelables poursuivent leur progression</w:t>
      </w:r>
      <w:bookmarkEnd w:id="32"/>
    </w:p>
    <w:p>
      <w:pPr>
        <w:pStyle w:val="FirstParagraph"/>
      </w:pPr>
      <w:r>
        <w:t xml:space="preserve">En 2020, 3,65 TWh d’énergie renouvelable ont été injectés dans les réseaux publics de gaz et d’électricité des Pays de la Loire.</w:t>
      </w:r>
      <w:r>
        <w:t xml:space="preserve"> </w:t>
      </w:r>
      <w:r>
        <w:t xml:space="preserve">Par rapport à 2019, la progression est spectaculaire (de près de 20 %), mais la contribution de la région à la production renouvelable nationale reste modeste (un peu moins de 3 %) en raison du faible potentiel hydro-électrique de la région.</w:t>
      </w:r>
      <w:r>
        <w:t xml:space="preserve"> </w:t>
      </w:r>
      <w:r>
        <w:t xml:space="preserve">L’éolien est la filière électrique renouvelable prépondérante dans la région. Elle est à l’origine des 2/3 du mix renouvelable régional. Les 2,4 TWh injectés sur le réseau cette année représentent une progression annuelle de plus de 20 % et contribuent à la production France métropolitaine à hauteur de 6 %).</w:t>
      </w:r>
      <w:r>
        <w:t xml:space="preserve"> </w:t>
      </w:r>
      <w:r>
        <w:t xml:space="preserve">Les objectifs développement de cette filière à horizon 2020 ne sont toutefois pas atteints pour la région, la production éolienne de 2020</w:t>
      </w:r>
      <w:r>
        <w:t xml:space="preserve"> </w:t>
      </w:r>
      <w:r>
        <w:t xml:space="preserve">correspond à peine aux 2/3 de la production cible, alors qu’à l’échelle nationale, les objectifs 2020 sont tenus.</w:t>
      </w:r>
      <w:r>
        <w:t xml:space="preserve"> </w:t>
      </w:r>
      <w:r>
        <w:t xml:space="preserve">Pour la première fois en 2020, l’éolien devient même la troisième source d’électricité en France, après le nucléaire et l’hydro-électricité.</w:t>
      </w:r>
      <w:r>
        <w:t xml:space="preserve"> </w:t>
      </w:r>
      <w:r>
        <w:t xml:space="preserve">La production solaire photovoltaïque a également fortement progressé : les 660 MWh injectés sur le réseau en 2020 sont supérieurs de 8 % à la production régionale de 2019.</w:t>
      </w:r>
      <w:r>
        <w:t xml:space="preserve"> </w:t>
      </w:r>
      <w:r>
        <w:t xml:space="preserve">Les objectifs de production 2020 sont cette fois largement atteints par la région, avec un taux de réalisation de 114 %, tandis qu’à l’échelle nationale il est même de plus de 200 %.</w:t>
      </w:r>
      <w:r>
        <w:t xml:space="preserve"> </w:t>
      </w:r>
      <w:r>
        <w:t xml:space="preserve">Les injections de biométhane sur le réseau de gaz naturel sont en plein essor : + 67 % dans la région et + 79 % à l’échelle nationale. Avec 190 MWh injectés sur les réseaux de gaz en 2020, la filière reste minoritaire dans le mix régional.</w:t>
      </w:r>
      <w:r>
        <w:t xml:space="preserve"> </w:t>
      </w:r>
      <w:r>
        <w:t xml:space="preserve">Elle contribue toutefois à hauteur de 8,6 % % des injections de France continentale.</w:t>
      </w:r>
    </w:p>
    <w:p>
      <w:pPr>
        <w:pStyle w:val="Titre1"/>
      </w:pPr>
      <w:bookmarkStart w:id="33" w:name="données-à-transmettre"/>
      <w:r>
        <w:t xml:space="preserve">Données à transmettre</w:t>
      </w:r>
      <w:bookmarkEnd w:id="33"/>
    </w:p>
    <w:p>
      <w:pPr>
        <w:pStyle w:val="FirstParagraph"/>
      </w:pPr>
      <w:r>
        <w:t xml:space="preserve">Les données nécessaires à la réalisation des graphiques sont fournies dans le tableur BES2020_donnees_energie_2021-04-09.xlsx.</w:t>
      </w:r>
    </w:p>
    <w:sectPr>
      <w:footerReference w:type="default" r:id="rId9"/>
      <w:type w:val="nextPage"/>
      <w:pgSz w:w="12132" w:h="16838"/>
      <w:pgMar w:left="567" w:right="567" w:header="0" w:top="711" w:footer="559" w:bottom="930" w:gutter="0"/>
      <w:pgNumType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 Light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Marianne">
    <w:charset w:val="00"/>
    <w:family w:val="roman"/>
    <w:pitch w:val="variable"/>
  </w:font>
  <w:font w:name="Marianne">
    <w:charset w:val="01"/>
    <w:family w:val="modern"/>
    <w:pitch w:val="variable"/>
  </w:font>
  <w:font w:name="Calibri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suppressLineNumbers/>
      <w:tabs>
        <w:tab w:val="center" w:pos="5386" w:leader="none"/>
        <w:tab w:val="right" w:pos="10772" w:leader="none"/>
      </w:tabs>
      <w:spacing w:before="0" w:after="142"/>
      <w:jc w:val="center"/>
      <w:rPr/>
    </w:pPr>
    <w:r>
      <w:rPr>
        <w:color w:val="333333"/>
        <w:sz w:val="18"/>
        <w:szCs w:val="18"/>
      </w:rPr>
      <w:t xml:space="preserve">Portrait initialisé par la DREAL Pays de la Loire le </w:t>
    </w:r>
    <w:r>
      <w:rPr>
        <w:sz w:val="18"/>
        <w:szCs w:val="18"/>
      </w:rPr>
      <w:fldChar w:fldCharType="begin" w:fldLock="true"/>
    </w:r>
    <w:r>
      <w:rPr>
        <w:sz w:val="18"/>
        <w:szCs w:val="18"/>
      </w:rPr>
      <w:instrText> DATE \@"dd\/MM\/yyyy"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17/03/2021</w:t>
    </w:r>
    <w:r>
      <w:rPr>
        <w:sz w:val="18"/>
        <w:szCs w:val="18"/>
      </w:rPr>
      <w:fldChar w:fldCharType="end"/>
    </w:r>
    <w:r>
      <w:rPr>
        <w:color w:val="333333"/>
        <w:sz w:val="18"/>
        <w:szCs w:val="18"/>
      </w:rPr>
      <w:t xml:space="preserve"> -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24</w:t>
    </w:r>
    <w:r>
      <w:rPr>
        <w:sz w:val="18"/>
        <w:szCs w:val="18"/>
      </w:rPr>
      <w:fldChar w:fldCharType="end"/>
    </w:r>
    <w:r>
      <w:rPr>
        <w:color w:val="333333"/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24</w:t>
    </w:r>
    <w:r>
      <w:rPr>
        <w:sz w:val="18"/>
        <w:szCs w:val="18"/>
      </w:rPr>
      <w:fldChar w:fldCharType="end"/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re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re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5"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6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8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57" w:after="57"/>
      <w:jc w:val="left"/>
    </w:pPr>
    <w:rPr>
      <w:rFonts w:ascii="Marianne Light" w:hAnsi="Marianne Light" w:eastAsia="SimSun" w:cs="Arial"/>
      <w:color w:val="auto"/>
      <w:kern w:val="2"/>
      <w:sz w:val="20"/>
      <w:szCs w:val="20"/>
      <w:lang w:val="fr-FR" w:eastAsia="zh-CN" w:bidi="hi-IN"/>
    </w:rPr>
  </w:style>
  <w:style w:type="paragraph" w:styleId="Titre1">
    <w:name w:val="Heading 1"/>
    <w:basedOn w:val="Titre"/>
    <w:qFormat/>
    <w:pPr>
      <w:numPr>
        <w:ilvl w:val="0"/>
        <w:numId w:val="1"/>
      </w:numPr>
      <w:spacing w:before="0" w:after="119"/>
      <w:jc w:val="left"/>
      <w:outlineLvl w:val="0"/>
    </w:pPr>
    <w:rPr>
      <w:b/>
      <w:bCs/>
      <w:sz w:val="42"/>
      <w:szCs w:val="36"/>
    </w:rPr>
  </w:style>
  <w:style w:type="paragraph" w:styleId="Titre2">
    <w:name w:val="Heading 2"/>
    <w:basedOn w:val="Titre"/>
    <w:qFormat/>
    <w:pPr>
      <w:numPr>
        <w:ilvl w:val="1"/>
        <w:numId w:val="1"/>
      </w:numPr>
      <w:spacing w:before="200" w:after="120"/>
      <w:outlineLvl w:val="1"/>
    </w:pPr>
    <w:rPr>
      <w:b/>
      <w:bCs/>
      <w:sz w:val="36"/>
      <w:szCs w:val="32"/>
    </w:rPr>
  </w:style>
  <w:style w:type="paragraph" w:styleId="Titre3">
    <w:name w:val="Heading 3"/>
    <w:basedOn w:val="Titre"/>
    <w:qFormat/>
    <w:pPr>
      <w:spacing w:before="227" w:after="113"/>
    </w:pPr>
    <w:rPr>
      <w:b/>
      <w:bCs/>
      <w:sz w:val="30"/>
      <w:szCs w:val="30"/>
    </w:rPr>
  </w:style>
  <w:style w:type="paragraph" w:styleId="Titre4">
    <w:name w:val="Heading 4"/>
    <w:basedOn w:val="Titre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31"/>
      <w:szCs w:val="27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cs="OpenSymbol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ListLabel154">
    <w:name w:val="ListLabel 154"/>
    <w:qFormat/>
    <w:rPr>
      <w:rFonts w:cs="OpenSymbol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OpenSymbol"/>
    </w:rPr>
  </w:style>
  <w:style w:type="character" w:styleId="ListLabel158">
    <w:name w:val="ListLabel 158"/>
    <w:qFormat/>
    <w:rPr>
      <w:rFonts w:cs="OpenSymbol"/>
    </w:rPr>
  </w:style>
  <w:style w:type="character" w:styleId="ListLabel159">
    <w:name w:val="ListLabel 159"/>
    <w:qFormat/>
    <w:rPr>
      <w:rFonts w:cs="OpenSymbol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OpenSymbol"/>
    </w:rPr>
  </w:style>
  <w:style w:type="character" w:styleId="ListLabel169">
    <w:name w:val="ListLabel 169"/>
    <w:qFormat/>
    <w:rPr>
      <w:rFonts w:cs="OpenSymbol"/>
    </w:rPr>
  </w:style>
  <w:style w:type="character" w:styleId="ListLabel170">
    <w:name w:val="ListLabel 170"/>
    <w:qFormat/>
    <w:rPr>
      <w:rFonts w:cs="OpenSymbol"/>
    </w:rPr>
  </w:style>
  <w:style w:type="character" w:styleId="ListLabel171">
    <w:name w:val="ListLabel 171"/>
    <w:qFormat/>
    <w:rPr>
      <w:rFonts w:cs="OpenSymbol"/>
    </w:rPr>
  </w:style>
  <w:style w:type="character" w:styleId="ListLabel172">
    <w:name w:val="ListLabel 172"/>
    <w:qFormat/>
    <w:rPr>
      <w:rFonts w:cs="OpenSymbol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cs="OpenSymbol"/>
    </w:rPr>
  </w:style>
  <w:style w:type="character" w:styleId="ListLabel188">
    <w:name w:val="ListLabel 188"/>
    <w:qFormat/>
    <w:rPr>
      <w:rFonts w:cs="OpenSymbol"/>
    </w:rPr>
  </w:style>
  <w:style w:type="character" w:styleId="ListLabel189">
    <w:name w:val="ListLabel 189"/>
    <w:qFormat/>
    <w:rPr>
      <w:rFonts w:cs="OpenSymbol"/>
    </w:rPr>
  </w:style>
  <w:style w:type="character" w:styleId="DefaultParagraphFont">
    <w:name w:val="Default Paragraph Font"/>
    <w:qFormat/>
    <w:rPr/>
  </w:style>
  <w:style w:type="character" w:styleId="LgendeCar">
    <w:name w:val="Légende Car"/>
    <w:basedOn w:val="DefaultParagraphFont"/>
    <w:qFormat/>
    <w:rPr/>
  </w:style>
  <w:style w:type="character" w:styleId="LienInternet">
    <w:name w:val="Lien Internet"/>
    <w:basedOn w:val="LgendeCar"/>
    <w:rPr>
      <w:color w:val="5983B0"/>
      <w:u w:val="single"/>
    </w:rPr>
  </w:style>
  <w:style w:type="character" w:styleId="ListLabel190">
    <w:name w:val="ListLabel 190"/>
    <w:qFormat/>
    <w:rPr>
      <w:rFonts w:cs="OpenSymbol"/>
    </w:rPr>
  </w:style>
  <w:style w:type="character" w:styleId="ListLabel191">
    <w:name w:val="ListLabel 191"/>
    <w:qFormat/>
    <w:rPr>
      <w:rFonts w:cs="OpenSymbol"/>
    </w:rPr>
  </w:style>
  <w:style w:type="character" w:styleId="ListLabel192">
    <w:name w:val="ListLabel 192"/>
    <w:qFormat/>
    <w:rPr>
      <w:rFonts w:cs="OpenSymbol"/>
    </w:rPr>
  </w:style>
  <w:style w:type="character" w:styleId="ListLabel193">
    <w:name w:val="ListLabel 193"/>
    <w:qFormat/>
    <w:rPr>
      <w:rFonts w:cs="OpenSymbol"/>
    </w:rPr>
  </w:style>
  <w:style w:type="character" w:styleId="ListLabel194">
    <w:name w:val="ListLabel 194"/>
    <w:qFormat/>
    <w:rPr>
      <w:rFonts w:cs="OpenSymbol"/>
    </w:rPr>
  </w:style>
  <w:style w:type="character" w:styleId="ListLabel195">
    <w:name w:val="ListLabel 195"/>
    <w:qFormat/>
    <w:rPr>
      <w:rFonts w:cs="OpenSymbol"/>
    </w:rPr>
  </w:style>
  <w:style w:type="character" w:styleId="ListLabel196">
    <w:name w:val="ListLabel 196"/>
    <w:qFormat/>
    <w:rPr>
      <w:rFonts w:cs="OpenSymbol"/>
    </w:rPr>
  </w:style>
  <w:style w:type="character" w:styleId="ListLabel197">
    <w:name w:val="ListLabel 197"/>
    <w:qFormat/>
    <w:rPr>
      <w:rFonts w:cs="OpenSymbol"/>
    </w:rPr>
  </w:style>
  <w:style w:type="character" w:styleId="ListLabel198">
    <w:name w:val="ListLabel 198"/>
    <w:qFormat/>
    <w:rPr>
      <w:rFonts w:cs="OpenSymbol"/>
    </w:rPr>
  </w:style>
  <w:style w:type="character" w:styleId="ListLabel199">
    <w:name w:val="ListLabel 199"/>
    <w:qFormat/>
    <w:rPr>
      <w:sz w:val="22"/>
      <w:szCs w:val="22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rFonts w:cs="OpenSymbol"/>
    </w:rPr>
  </w:style>
  <w:style w:type="character" w:styleId="ListLabel209">
    <w:name w:val="ListLabel 209"/>
    <w:qFormat/>
    <w:rPr>
      <w:sz w:val="22"/>
      <w:szCs w:val="22"/>
    </w:rPr>
  </w:style>
  <w:style w:type="character" w:styleId="KeywordTok" w:customStyle="1">
    <w:name w:val="KeywordTok"/>
    <w:qFormat/>
    <w:rPr>
      <w:color w:val="204A87"/>
      <w:shd w:fill="F8F8F8" w:val="clear"/>
    </w:rPr>
  </w:style>
  <w:style w:type="character" w:styleId="DataTypeTok" w:customStyle="1">
    <w:name w:val="DataTypeTok"/>
    <w:qFormat/>
    <w:rPr>
      <w:color w:val="204A87"/>
      <w:shd w:fill="F8F8F8" w:val="clear"/>
    </w:rPr>
  </w:style>
  <w:style w:type="character" w:styleId="DecValTok" w:customStyle="1">
    <w:name w:val="DecValTok"/>
    <w:qFormat/>
    <w:rPr>
      <w:color w:val="0000CF"/>
      <w:shd w:fill="F8F8F8" w:val="clear"/>
    </w:rPr>
  </w:style>
  <w:style w:type="character" w:styleId="BaseNTok" w:customStyle="1">
    <w:name w:val="BaseNTok"/>
    <w:qFormat/>
    <w:rPr>
      <w:color w:val="0000CF"/>
      <w:shd w:fill="F8F8F8" w:val="clear"/>
    </w:rPr>
  </w:style>
  <w:style w:type="character" w:styleId="FloatTok" w:customStyle="1">
    <w:name w:val="FloatTok"/>
    <w:qFormat/>
    <w:rPr>
      <w:color w:val="0000CF"/>
      <w:shd w:fill="F8F8F8" w:val="clear"/>
    </w:rPr>
  </w:style>
  <w:style w:type="character" w:styleId="ConstantTok" w:customStyle="1">
    <w:name w:val="ConstantTok"/>
    <w:qFormat/>
    <w:rPr>
      <w:color w:val="000000"/>
      <w:shd w:fill="F8F8F8" w:val="clear"/>
    </w:rPr>
  </w:style>
  <w:style w:type="character" w:styleId="CharTok" w:customStyle="1">
    <w:name w:val="CharTok"/>
    <w:qFormat/>
    <w:rPr>
      <w:color w:val="4E9A06"/>
      <w:shd w:fill="F8F8F8" w:val="clear"/>
    </w:rPr>
  </w:style>
  <w:style w:type="character" w:styleId="SpecialCharTok" w:customStyle="1">
    <w:name w:val="SpecialCharTok"/>
    <w:qFormat/>
    <w:rPr>
      <w:color w:val="000000"/>
      <w:shd w:fill="F8F8F8" w:val="clear"/>
    </w:rPr>
  </w:style>
  <w:style w:type="character" w:styleId="StringTok" w:customStyle="1">
    <w:name w:val="StringTok"/>
    <w:qFormat/>
    <w:rPr>
      <w:color w:val="4E9A06"/>
      <w:shd w:fill="F8F8F8" w:val="clear"/>
    </w:rPr>
  </w:style>
  <w:style w:type="character" w:styleId="VerbatimStringTok" w:customStyle="1">
    <w:name w:val="VerbatimStringTok"/>
    <w:qFormat/>
    <w:rPr>
      <w:color w:val="4E9A06"/>
      <w:shd w:fill="F8F8F8" w:val="clear"/>
    </w:rPr>
  </w:style>
  <w:style w:type="character" w:styleId="SpecialStringTok" w:customStyle="1">
    <w:name w:val="SpecialStringTok"/>
    <w:qFormat/>
    <w:rPr>
      <w:color w:val="4E9A06"/>
      <w:shd w:fill="F8F8F8" w:val="clear"/>
    </w:rPr>
  </w:style>
  <w:style w:type="character" w:styleId="ImportTok" w:customStyle="1">
    <w:name w:val="ImportTok"/>
    <w:qFormat/>
    <w:rPr>
      <w:shd w:fill="F8F8F8" w:val="clear"/>
    </w:rPr>
  </w:style>
  <w:style w:type="character" w:styleId="CommentTok" w:customStyle="1">
    <w:name w:val="CommentTok"/>
    <w:qFormat/>
    <w:rPr>
      <w:i/>
      <w:color w:val="8F5902"/>
      <w:shd w:fill="F8F8F8" w:val="clear"/>
    </w:rPr>
  </w:style>
  <w:style w:type="character" w:styleId="DocumentationTok" w:customStyle="1">
    <w:name w:val="DocumentationTok"/>
    <w:qFormat/>
    <w:rPr>
      <w:i/>
      <w:color w:val="8F5902"/>
      <w:shd w:fill="F8F8F8" w:val="clear"/>
    </w:rPr>
  </w:style>
  <w:style w:type="character" w:styleId="AnnotationTok" w:customStyle="1">
    <w:name w:val="AnnotationTok"/>
    <w:qFormat/>
    <w:rPr>
      <w:i/>
      <w:color w:val="8F5902"/>
      <w:shd w:fill="F8F8F8" w:val="clear"/>
    </w:rPr>
  </w:style>
  <w:style w:type="character" w:styleId="CommentVarTok" w:customStyle="1">
    <w:name w:val="CommentVarTok"/>
    <w:qFormat/>
    <w:rPr>
      <w:i/>
      <w:color w:val="8F5902"/>
      <w:shd w:fill="F8F8F8" w:val="clear"/>
    </w:rPr>
  </w:style>
  <w:style w:type="character" w:styleId="OtherTok" w:customStyle="1">
    <w:name w:val="OtherTok"/>
    <w:qFormat/>
    <w:rPr>
      <w:color w:val="8F5902"/>
      <w:shd w:fill="F8F8F8" w:val="clear"/>
    </w:rPr>
  </w:style>
  <w:style w:type="character" w:styleId="FunctionTok" w:customStyle="1">
    <w:name w:val="FunctionTok"/>
    <w:qFormat/>
    <w:rPr>
      <w:color w:val="000000"/>
      <w:shd w:fill="F8F8F8" w:val="clear"/>
    </w:rPr>
  </w:style>
  <w:style w:type="character" w:styleId="VariableTok" w:customStyle="1">
    <w:name w:val="VariableTok"/>
    <w:qFormat/>
    <w:rPr>
      <w:color w:val="000000"/>
      <w:shd w:fill="F8F8F8" w:val="clear"/>
    </w:rPr>
  </w:style>
  <w:style w:type="character" w:styleId="ControlFlowTok" w:customStyle="1">
    <w:name w:val="ControlFlowTok"/>
    <w:qFormat/>
    <w:rPr>
      <w:color w:val="204A87"/>
      <w:shd w:fill="F8F8F8" w:val="clear"/>
    </w:rPr>
  </w:style>
  <w:style w:type="character" w:styleId="OperatorTok" w:customStyle="1">
    <w:name w:val="OperatorTok"/>
    <w:qFormat/>
    <w:rPr>
      <w:color w:val="CE5C00"/>
      <w:shd w:fill="F8F8F8" w:val="clear"/>
    </w:rPr>
  </w:style>
  <w:style w:type="character" w:styleId="BuiltInTok" w:customStyle="1">
    <w:name w:val="BuiltInTok"/>
    <w:qFormat/>
    <w:rPr>
      <w:shd w:fill="F8F8F8" w:val="clear"/>
    </w:rPr>
  </w:style>
  <w:style w:type="character" w:styleId="ExtensionTok" w:customStyle="1">
    <w:name w:val="ExtensionTok"/>
    <w:qFormat/>
    <w:rPr>
      <w:shd w:fill="F8F8F8" w:val="clear"/>
    </w:rPr>
  </w:style>
  <w:style w:type="character" w:styleId="PreprocessorTok" w:customStyle="1">
    <w:name w:val="PreprocessorTok"/>
    <w:qFormat/>
    <w:rPr>
      <w:i/>
      <w:color w:val="8F5902"/>
      <w:shd w:fill="F8F8F8" w:val="clear"/>
    </w:rPr>
  </w:style>
  <w:style w:type="character" w:styleId="AttributeTok" w:customStyle="1">
    <w:name w:val="AttributeTok"/>
    <w:qFormat/>
    <w:rPr>
      <w:color w:val="C4A000"/>
      <w:shd w:fill="F8F8F8" w:val="clear"/>
    </w:rPr>
  </w:style>
  <w:style w:type="character" w:styleId="RegionMarkerTok" w:customStyle="1">
    <w:name w:val="RegionMarkerTok"/>
    <w:qFormat/>
    <w:rPr>
      <w:shd w:fill="F8F8F8" w:val="clear"/>
    </w:rPr>
  </w:style>
  <w:style w:type="character" w:styleId="InformationTok" w:customStyle="1">
    <w:name w:val="InformationTok"/>
    <w:qFormat/>
    <w:rPr>
      <w:i/>
      <w:color w:val="8F5902"/>
      <w:shd w:fill="F8F8F8" w:val="clear"/>
    </w:rPr>
  </w:style>
  <w:style w:type="character" w:styleId="WarningTok" w:customStyle="1">
    <w:name w:val="WarningTok"/>
    <w:qFormat/>
    <w:rPr>
      <w:i/>
      <w:color w:val="8F5902"/>
      <w:shd w:fill="F8F8F8" w:val="clear"/>
    </w:rPr>
  </w:style>
  <w:style w:type="character" w:styleId="AlertTok" w:customStyle="1">
    <w:name w:val="AlertTok"/>
    <w:qFormat/>
    <w:rPr>
      <w:color w:val="EF2929"/>
      <w:shd w:fill="F8F8F8" w:val="clear"/>
    </w:rPr>
  </w:style>
  <w:style w:type="character" w:styleId="ErrorTok" w:customStyle="1">
    <w:name w:val="ErrorTok"/>
    <w:qFormat/>
    <w:rPr>
      <w:color w:val="A40000"/>
      <w:shd w:fill="F8F8F8" w:val="clear"/>
    </w:rPr>
  </w:style>
  <w:style w:type="character" w:styleId="NormalTok" w:customStyle="1">
    <w:name w:val="NormalTok"/>
    <w:qFormat/>
    <w:rPr>
      <w:shd w:fill="F8F8F8" w:val="clear"/>
    </w:rPr>
  </w:style>
  <w:style w:type="character" w:styleId="ListLabel210">
    <w:name w:val="ListLabel 210"/>
    <w:qFormat/>
    <w:rPr>
      <w:rFonts w:cs="OpenSymbol"/>
    </w:rPr>
  </w:style>
  <w:style w:type="character" w:styleId="ListLabel211">
    <w:name w:val="ListLabel 211"/>
    <w:qFormat/>
    <w:rPr>
      <w:rFonts w:cs="OpenSymbol"/>
    </w:rPr>
  </w:style>
  <w:style w:type="character" w:styleId="ListLabel212">
    <w:name w:val="ListLabel 212"/>
    <w:qFormat/>
    <w:rPr>
      <w:rFonts w:cs="OpenSymbol"/>
    </w:rPr>
  </w:style>
  <w:style w:type="character" w:styleId="ListLabel213">
    <w:name w:val="ListLabel 213"/>
    <w:qFormat/>
    <w:rPr>
      <w:rFonts w:cs="OpenSymbol"/>
    </w:rPr>
  </w:style>
  <w:style w:type="character" w:styleId="ListLabel214">
    <w:name w:val="ListLabel 214"/>
    <w:qFormat/>
    <w:rPr>
      <w:rFonts w:cs="OpenSymbol"/>
    </w:rPr>
  </w:style>
  <w:style w:type="character" w:styleId="ListLabel215">
    <w:name w:val="ListLabel 215"/>
    <w:qFormat/>
    <w:rPr>
      <w:rFonts w:cs="OpenSymbol"/>
    </w:rPr>
  </w:style>
  <w:style w:type="character" w:styleId="ListLabel216">
    <w:name w:val="ListLabel 216"/>
    <w:qFormat/>
    <w:rPr>
      <w:rFonts w:cs="OpenSymbol"/>
    </w:rPr>
  </w:style>
  <w:style w:type="character" w:styleId="ListLabel217">
    <w:name w:val="ListLabel 217"/>
    <w:qFormat/>
    <w:rPr>
      <w:rFonts w:cs="OpenSymbol"/>
    </w:rPr>
  </w:style>
  <w:style w:type="character" w:styleId="ListLabel218">
    <w:name w:val="ListLabel 218"/>
    <w:qFormat/>
    <w:rPr>
      <w:rFonts w:cs="OpenSymbol"/>
    </w:rPr>
  </w:style>
  <w:style w:type="character" w:styleId="ListLabel219">
    <w:name w:val="ListLabel 219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Symbol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Symbol"/>
    </w:rPr>
  </w:style>
  <w:style w:type="character" w:styleId="ListLabel225">
    <w:name w:val="ListLabel 225"/>
    <w:qFormat/>
    <w:rPr>
      <w:rFonts w:cs="Symbol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Caractresdenumrotation">
    <w:name w:val="Caractères de numérotation"/>
    <w:qFormat/>
    <w:rPr/>
  </w:style>
  <w:style w:type="character" w:styleId="ListLabel230">
    <w:name w:val="ListLabel 230"/>
    <w:qFormat/>
    <w:rPr>
      <w:rFonts w:cs="Marianne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Symbol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Symbol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Symbol"/>
    </w:rPr>
  </w:style>
  <w:style w:type="character" w:styleId="ListLabel247">
    <w:name w:val="ListLabel 247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48">
    <w:name w:val="ListLabel 248"/>
    <w:qFormat/>
    <w:rPr>
      <w:rFonts w:cs="OpenSymbol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OpenSymbol"/>
    </w:rPr>
  </w:style>
  <w:style w:type="character" w:styleId="ListLabel253">
    <w:name w:val="ListLabel 253"/>
    <w:qFormat/>
    <w:rPr>
      <w:rFonts w:cs="OpenSymbol"/>
    </w:rPr>
  </w:style>
  <w:style w:type="character" w:styleId="ListLabel254">
    <w:name w:val="ListLabel 254"/>
    <w:qFormat/>
    <w:rPr>
      <w:rFonts w:cs="OpenSymbol"/>
    </w:rPr>
  </w:style>
  <w:style w:type="character" w:styleId="ListLabel255">
    <w:name w:val="ListLabel 255"/>
    <w:qFormat/>
    <w:rPr>
      <w:rFonts w:cs="OpenSymbol"/>
    </w:rPr>
  </w:style>
  <w:style w:type="character" w:styleId="ListLabel256">
    <w:name w:val="ListLabel 256"/>
    <w:qFormat/>
    <w:rPr>
      <w:rFonts w:cs="OpenSymbol"/>
    </w:rPr>
  </w:style>
  <w:style w:type="character" w:styleId="ListLabel257">
    <w:name w:val="ListLabel 257"/>
    <w:qFormat/>
    <w:rPr/>
  </w:style>
  <w:style w:type="character" w:styleId="ListLabel258">
    <w:name w:val="ListLabel 258"/>
    <w:qFormat/>
    <w:rPr>
      <w:rFonts w:cs="OpenSymbol"/>
    </w:rPr>
  </w:style>
  <w:style w:type="character" w:styleId="ListLabel259">
    <w:name w:val="ListLabel 259"/>
    <w:qFormat/>
    <w:rPr>
      <w:rFonts w:cs="OpenSymbol"/>
    </w:rPr>
  </w:style>
  <w:style w:type="character" w:styleId="ListLabel260">
    <w:name w:val="ListLabel 260"/>
    <w:qFormat/>
    <w:rPr>
      <w:rFonts w:cs="OpenSymbol"/>
    </w:rPr>
  </w:style>
  <w:style w:type="character" w:styleId="ListLabel261">
    <w:name w:val="ListLabel 261"/>
    <w:qFormat/>
    <w:rPr>
      <w:rFonts w:cs="OpenSymbol"/>
    </w:rPr>
  </w:style>
  <w:style w:type="character" w:styleId="ListLabel262">
    <w:name w:val="ListLabel 262"/>
    <w:qFormat/>
    <w:rPr>
      <w:rFonts w:cs="OpenSymbol"/>
    </w:rPr>
  </w:style>
  <w:style w:type="character" w:styleId="ListLabel263">
    <w:name w:val="ListLabel 263"/>
    <w:qFormat/>
    <w:rPr>
      <w:rFonts w:cs="OpenSymbol"/>
    </w:rPr>
  </w:style>
  <w:style w:type="character" w:styleId="ListLabel264">
    <w:name w:val="ListLabel 264"/>
    <w:qFormat/>
    <w:rPr>
      <w:rFonts w:cs="OpenSymbol"/>
    </w:rPr>
  </w:style>
  <w:style w:type="character" w:styleId="ListLabel265">
    <w:name w:val="ListLabel 265"/>
    <w:qFormat/>
    <w:rPr>
      <w:rFonts w:cs="OpenSymbol"/>
    </w:rPr>
  </w:style>
  <w:style w:type="character" w:styleId="ListLabel266">
    <w:name w:val="ListLabel 266"/>
    <w:qFormat/>
    <w:rPr>
      <w:rFonts w:cs="OpenSymbol"/>
    </w:rPr>
  </w:style>
  <w:style w:type="character" w:styleId="ListLabel267">
    <w:name w:val="ListLabel 267"/>
    <w:qFormat/>
    <w:rPr>
      <w:rFonts w:cs="OpenSymbol"/>
    </w:rPr>
  </w:style>
  <w:style w:type="character" w:styleId="ListLabel268">
    <w:name w:val="ListLabel 268"/>
    <w:qFormat/>
    <w:rPr>
      <w:rFonts w:cs="OpenSymbol"/>
    </w:rPr>
  </w:style>
  <w:style w:type="character" w:styleId="ListLabel269">
    <w:name w:val="ListLabel 269"/>
    <w:qFormat/>
    <w:rPr>
      <w:rFonts w:cs="OpenSymbol"/>
    </w:rPr>
  </w:style>
  <w:style w:type="character" w:styleId="ListLabel270">
    <w:name w:val="ListLabel 270"/>
    <w:qFormat/>
    <w:rPr>
      <w:rFonts w:cs="OpenSymbol"/>
    </w:rPr>
  </w:style>
  <w:style w:type="character" w:styleId="ListLabel271">
    <w:name w:val="ListLabel 271"/>
    <w:qFormat/>
    <w:rPr>
      <w:rFonts w:cs="OpenSymbol"/>
    </w:rPr>
  </w:style>
  <w:style w:type="character" w:styleId="ListLabel272">
    <w:name w:val="ListLabel 272"/>
    <w:qFormat/>
    <w:rPr>
      <w:rFonts w:cs="OpenSymbol"/>
    </w:rPr>
  </w:style>
  <w:style w:type="character" w:styleId="ListLabel273">
    <w:name w:val="ListLabel 273"/>
    <w:qFormat/>
    <w:rPr>
      <w:rFonts w:cs="OpenSymbol"/>
    </w:rPr>
  </w:style>
  <w:style w:type="character" w:styleId="ListLabel274">
    <w:name w:val="ListLabel 274"/>
    <w:qFormat/>
    <w:rPr>
      <w:rFonts w:cs="OpenSymbol"/>
    </w:rPr>
  </w:style>
  <w:style w:type="character" w:styleId="ListLabel275">
    <w:name w:val="ListLabel 275"/>
    <w:qFormat/>
    <w:rPr>
      <w:rFonts w:cs="OpenSymbol"/>
    </w:rPr>
  </w:style>
  <w:style w:type="character" w:styleId="ListLabel276">
    <w:name w:val="ListLabel 276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277">
    <w:name w:val="ListLabel 277"/>
    <w:qFormat/>
    <w:rPr>
      <w:rFonts w:cs="Marianne"/>
    </w:rPr>
  </w:style>
  <w:style w:type="character" w:styleId="ListLabel278">
    <w:name w:val="ListLabel 278"/>
    <w:qFormat/>
    <w:rPr>
      <w:rFonts w:cs="Marianne"/>
    </w:rPr>
  </w:style>
  <w:style w:type="character" w:styleId="ListLabel279">
    <w:name w:val="ListLabel 279"/>
    <w:qFormat/>
    <w:rPr>
      <w:rFonts w:cs="Marianne"/>
    </w:rPr>
  </w:style>
  <w:style w:type="character" w:styleId="ListLabel280">
    <w:name w:val="ListLabel 280"/>
    <w:qFormat/>
    <w:rPr>
      <w:rFonts w:cs="Marianne"/>
    </w:rPr>
  </w:style>
  <w:style w:type="character" w:styleId="ListLabel281">
    <w:name w:val="ListLabel 281"/>
    <w:qFormat/>
    <w:rPr>
      <w:rFonts w:cs="Marianne"/>
    </w:rPr>
  </w:style>
  <w:style w:type="character" w:styleId="ListLabel282">
    <w:name w:val="ListLabel 282"/>
    <w:qFormat/>
    <w:rPr>
      <w:rFonts w:cs="Marianne"/>
    </w:rPr>
  </w:style>
  <w:style w:type="character" w:styleId="ListLabel283">
    <w:name w:val="ListLabel 283"/>
    <w:qFormat/>
    <w:rPr>
      <w:rFonts w:cs="Marianne"/>
    </w:rPr>
  </w:style>
  <w:style w:type="character" w:styleId="ListLabel284">
    <w:name w:val="ListLabel 284"/>
    <w:qFormat/>
    <w:rPr>
      <w:rFonts w:cs="Marianne"/>
    </w:rPr>
  </w:style>
  <w:style w:type="character" w:styleId="ListLabel285">
    <w:name w:val="ListLabel 285"/>
    <w:qFormat/>
    <w:rPr>
      <w:rFonts w:cs="Marianne"/>
    </w:rPr>
  </w:style>
  <w:style w:type="character" w:styleId="ListLabel286">
    <w:name w:val="ListLabel 286"/>
    <w:qFormat/>
    <w:rPr>
      <w:rFonts w:cs="OpenSymbol"/>
    </w:rPr>
  </w:style>
  <w:style w:type="character" w:styleId="ListLabel287">
    <w:name w:val="ListLabel 287"/>
    <w:qFormat/>
    <w:rPr>
      <w:rFonts w:cs="OpenSymbol"/>
    </w:rPr>
  </w:style>
  <w:style w:type="character" w:styleId="ListLabel288">
    <w:name w:val="ListLabel 288"/>
    <w:qFormat/>
    <w:rPr>
      <w:rFonts w:cs="OpenSymbol"/>
    </w:rPr>
  </w:style>
  <w:style w:type="character" w:styleId="ListLabel289">
    <w:name w:val="ListLabel 289"/>
    <w:qFormat/>
    <w:rPr>
      <w:rFonts w:cs="OpenSymbol"/>
    </w:rPr>
  </w:style>
  <w:style w:type="character" w:styleId="ListLabel290">
    <w:name w:val="ListLabel 290"/>
    <w:qFormat/>
    <w:rPr>
      <w:rFonts w:cs="OpenSymbol"/>
    </w:rPr>
  </w:style>
  <w:style w:type="character" w:styleId="ListLabel291">
    <w:name w:val="ListLabel 291"/>
    <w:qFormat/>
    <w:rPr>
      <w:rFonts w:cs="OpenSymbol"/>
    </w:rPr>
  </w:style>
  <w:style w:type="character" w:styleId="ListLabel292">
    <w:name w:val="ListLabel 292"/>
    <w:qFormat/>
    <w:rPr>
      <w:rFonts w:cs="OpenSymbol"/>
    </w:rPr>
  </w:style>
  <w:style w:type="character" w:styleId="ListLabel293">
    <w:name w:val="ListLabel 293"/>
    <w:qFormat/>
    <w:rPr>
      <w:rFonts w:cs="OpenSymbol"/>
    </w:rPr>
  </w:style>
  <w:style w:type="character" w:styleId="ListLabel294">
    <w:name w:val="ListLabel 294"/>
    <w:qFormat/>
    <w:rPr>
      <w:rFonts w:cs="OpenSymbol"/>
    </w:rPr>
  </w:style>
  <w:style w:type="character" w:styleId="ListLabel295">
    <w:name w:val="ListLabel 295"/>
    <w:qFormat/>
    <w:rPr>
      <w:rFonts w:cs="Marianne"/>
    </w:rPr>
  </w:style>
  <w:style w:type="character" w:styleId="ListLabel296">
    <w:name w:val="ListLabel 296"/>
    <w:qFormat/>
    <w:rPr>
      <w:rFonts w:cs="Marianne"/>
    </w:rPr>
  </w:style>
  <w:style w:type="character" w:styleId="ListLabel297">
    <w:name w:val="ListLabel 297"/>
    <w:qFormat/>
    <w:rPr>
      <w:rFonts w:cs="Marianne"/>
    </w:rPr>
  </w:style>
  <w:style w:type="character" w:styleId="ListLabel298">
    <w:name w:val="ListLabel 298"/>
    <w:qFormat/>
    <w:rPr>
      <w:rFonts w:cs="Marianne"/>
    </w:rPr>
  </w:style>
  <w:style w:type="character" w:styleId="ListLabel299">
    <w:name w:val="ListLabel 299"/>
    <w:qFormat/>
    <w:rPr>
      <w:rFonts w:cs="Marianne"/>
    </w:rPr>
  </w:style>
  <w:style w:type="character" w:styleId="ListLabel300">
    <w:name w:val="ListLabel 300"/>
    <w:qFormat/>
    <w:rPr>
      <w:rFonts w:cs="Marianne"/>
    </w:rPr>
  </w:style>
  <w:style w:type="character" w:styleId="ListLabel301">
    <w:name w:val="ListLabel 301"/>
    <w:qFormat/>
    <w:rPr>
      <w:rFonts w:cs="Marianne"/>
    </w:rPr>
  </w:style>
  <w:style w:type="character" w:styleId="ListLabel302">
    <w:name w:val="ListLabel 302"/>
    <w:qFormat/>
    <w:rPr>
      <w:rFonts w:cs="Marianne"/>
    </w:rPr>
  </w:style>
  <w:style w:type="character" w:styleId="ListLabel303">
    <w:name w:val="ListLabel 303"/>
    <w:qFormat/>
    <w:rPr>
      <w:rFonts w:cs="Marianne"/>
    </w:rPr>
  </w:style>
  <w:style w:type="character" w:styleId="ListLabel304">
    <w:name w:val="ListLabel 304"/>
    <w:qFormat/>
    <w:rPr>
      <w:rFonts w:cs="Marianne"/>
    </w:rPr>
  </w:style>
  <w:style w:type="character" w:styleId="ListLabel305">
    <w:name w:val="ListLabel 305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306">
    <w:name w:val="ListLabel 306"/>
    <w:qFormat/>
    <w:rPr>
      <w:rFonts w:cs="Marianne"/>
    </w:rPr>
  </w:style>
  <w:style w:type="character" w:styleId="ListLabel307">
    <w:name w:val="ListLabel 307"/>
    <w:qFormat/>
    <w:rPr>
      <w:rFonts w:cs="Marianne"/>
    </w:rPr>
  </w:style>
  <w:style w:type="character" w:styleId="ListLabel308">
    <w:name w:val="ListLabel 308"/>
    <w:qFormat/>
    <w:rPr>
      <w:rFonts w:cs="Marianne"/>
    </w:rPr>
  </w:style>
  <w:style w:type="character" w:styleId="ListLabel309">
    <w:name w:val="ListLabel 309"/>
    <w:qFormat/>
    <w:rPr>
      <w:rFonts w:cs="Marianne"/>
    </w:rPr>
  </w:style>
  <w:style w:type="character" w:styleId="ListLabel310">
    <w:name w:val="ListLabel 310"/>
    <w:qFormat/>
    <w:rPr>
      <w:rFonts w:cs="Marianne"/>
    </w:rPr>
  </w:style>
  <w:style w:type="character" w:styleId="ListLabel311">
    <w:name w:val="ListLabel 311"/>
    <w:qFormat/>
    <w:rPr>
      <w:rFonts w:cs="Marianne"/>
    </w:rPr>
  </w:style>
  <w:style w:type="character" w:styleId="ListLabel312">
    <w:name w:val="ListLabel 312"/>
    <w:qFormat/>
    <w:rPr>
      <w:rFonts w:cs="Marianne"/>
    </w:rPr>
  </w:style>
  <w:style w:type="character" w:styleId="ListLabel313">
    <w:name w:val="ListLabel 313"/>
    <w:qFormat/>
    <w:rPr>
      <w:rFonts w:cs="Marianne"/>
    </w:rPr>
  </w:style>
  <w:style w:type="character" w:styleId="ListLabel314">
    <w:name w:val="ListLabel 314"/>
    <w:qFormat/>
    <w:rPr>
      <w:rFonts w:cs="Marianne"/>
    </w:rPr>
  </w:style>
  <w:style w:type="character" w:styleId="ListLabel315">
    <w:name w:val="ListLabel 315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character" w:styleId="ListLabel316">
    <w:name w:val="ListLabel 316"/>
    <w:qFormat/>
    <w:rPr>
      <w:rFonts w:cs="Marianne"/>
    </w:rPr>
  </w:style>
  <w:style w:type="character" w:styleId="ListLabel317">
    <w:name w:val="ListLabel 317"/>
    <w:qFormat/>
    <w:rPr>
      <w:rFonts w:cs="Marianne"/>
    </w:rPr>
  </w:style>
  <w:style w:type="character" w:styleId="ListLabel318">
    <w:name w:val="ListLabel 318"/>
    <w:qFormat/>
    <w:rPr>
      <w:rFonts w:cs="Marianne"/>
    </w:rPr>
  </w:style>
  <w:style w:type="character" w:styleId="ListLabel319">
    <w:name w:val="ListLabel 319"/>
    <w:qFormat/>
    <w:rPr>
      <w:rFonts w:cs="Marianne"/>
    </w:rPr>
  </w:style>
  <w:style w:type="character" w:styleId="ListLabel320">
    <w:name w:val="ListLabel 320"/>
    <w:qFormat/>
    <w:rPr>
      <w:rFonts w:cs="Marianne"/>
    </w:rPr>
  </w:style>
  <w:style w:type="character" w:styleId="ListLabel321">
    <w:name w:val="ListLabel 321"/>
    <w:qFormat/>
    <w:rPr>
      <w:rFonts w:cs="Marianne"/>
    </w:rPr>
  </w:style>
  <w:style w:type="character" w:styleId="ListLabel322">
    <w:name w:val="ListLabel 322"/>
    <w:qFormat/>
    <w:rPr>
      <w:rFonts w:cs="Marianne"/>
    </w:rPr>
  </w:style>
  <w:style w:type="character" w:styleId="ListLabel323">
    <w:name w:val="ListLabel 323"/>
    <w:qFormat/>
    <w:rPr>
      <w:rFonts w:cs="Marianne"/>
    </w:rPr>
  </w:style>
  <w:style w:type="character" w:styleId="ListLabel324">
    <w:name w:val="ListLabel 324"/>
    <w:qFormat/>
    <w:rPr>
      <w:rFonts w:cs="Marianne"/>
    </w:rPr>
  </w:style>
  <w:style w:type="character" w:styleId="ListLabel325">
    <w:name w:val="ListLabel 325"/>
    <w:qFormat/>
    <w:rPr>
      <w:rFonts w:ascii="Marianne" w:hAnsi="Marianne" w:eastAsia="Marianne" w:cs="Marianne"/>
      <w:b w:val="false"/>
      <w:i w:val="false"/>
      <w:color w:val="000091"/>
      <w:sz w:val="20"/>
      <w:szCs w:val="20"/>
      <w:u w:val="single"/>
    </w:rPr>
  </w:style>
  <w:style w:type="paragraph" w:styleId="Titre">
    <w:name w:val="Titre"/>
    <w:basedOn w:val="Normal"/>
    <w:next w:val="Corpsdetexte"/>
    <w:qFormat/>
    <w:pPr>
      <w:keepNext w:val="true"/>
      <w:spacing w:before="0" w:after="119"/>
    </w:pPr>
    <w:rPr>
      <w:rFonts w:ascii="Marianne" w:hAnsi="Marianne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96" w:after="96"/>
    </w:pPr>
    <w:rPr>
      <w:rFonts w:ascii="Marianne Light" w:hAnsi="Marianne Light"/>
      <w:b w:val="false"/>
      <w:sz w:val="20"/>
      <w:szCs w:val="20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Titreprincipal">
    <w:name w:val="Title"/>
    <w:basedOn w:val="Titre"/>
    <w:qFormat/>
    <w:pPr>
      <w:spacing w:lineRule="auto" w:line="240" w:before="0" w:after="0"/>
      <w:jc w:val="center"/>
    </w:pPr>
    <w:rPr>
      <w:b/>
      <w:bCs/>
      <w:sz w:val="64"/>
      <w:szCs w:val="56"/>
    </w:rPr>
  </w:style>
  <w:style w:type="paragraph" w:styleId="Entte">
    <w:name w:val="Header"/>
    <w:basedOn w:val="Normal"/>
    <w:pPr>
      <w:suppressLineNumbers/>
      <w:tabs>
        <w:tab w:val="clear" w:pos="720"/>
        <w:tab w:val="center" w:pos="5386" w:leader="none"/>
        <w:tab w:val="right" w:pos="10772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20"/>
        <w:tab w:val="center" w:pos="5386" w:leader="none"/>
        <w:tab w:val="right" w:pos="10772" w:leader="none"/>
      </w:tabs>
      <w:spacing w:before="0" w:after="142"/>
      <w:jc w:val="center"/>
    </w:pPr>
    <w:rPr/>
  </w:style>
  <w:style w:type="paragraph" w:styleId="Enttegauche">
    <w:name w:val="En-tête gauche"/>
    <w:basedOn w:val="Normal"/>
    <w:qFormat/>
    <w:pPr>
      <w:suppressLineNumbers/>
      <w:tabs>
        <w:tab w:val="clear" w:pos="720"/>
        <w:tab w:val="center" w:pos="5386" w:leader="none"/>
        <w:tab w:val="right" w:pos="10772" w:leader="none"/>
      </w:tabs>
    </w:pPr>
    <w:rPr/>
  </w:style>
  <w:style w:type="paragraph" w:styleId="Listeol">
    <w:name w:val="liste_ol"/>
    <w:basedOn w:val="Corpsdetexte"/>
    <w:qFormat/>
    <w:pPr>
      <w:widowControl/>
      <w:bidi w:val="0"/>
      <w:spacing w:lineRule="auto" w:line="276" w:before="0" w:after="57"/>
      <w:ind w:left="454" w:right="0" w:hanging="227"/>
      <w:jc w:val="left"/>
    </w:pPr>
    <w:rPr/>
  </w:style>
  <w:style w:type="paragraph" w:styleId="TableCaption" w:customStyle="1">
    <w:name w:val="Table Caption"/>
    <w:qFormat/>
    <w:pPr>
      <w:widowControl w:val="false"/>
      <w:bidi w:val="0"/>
      <w:jc w:val="center"/>
    </w:pPr>
    <w:rPr>
      <w:rFonts w:ascii="Marianne" w:hAnsi="Marianne" w:eastAsia="SimSun" w:cs="Arial"/>
      <w:color w:val="808080"/>
      <w:kern w:val="2"/>
      <w:sz w:val="20"/>
      <w:szCs w:val="24"/>
      <w:lang w:val="fr-FR" w:eastAsia="zh-CN" w:bidi="hi-IN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paragraph" w:styleId="Listeul">
    <w:name w:val="liste_ul"/>
    <w:basedOn w:val="Listeol"/>
    <w:qFormat/>
    <w:pPr/>
    <w:rPr/>
  </w:style>
  <w:style w:type="numbering" w:styleId="Titres">
    <w:name w:val="Titres"/>
    <w:qFormat/>
  </w:style>
  <w:style w:type="numbering" w:styleId="Listeol1">
    <w:name w:val="liste_ol"/>
    <w:qFormat/>
  </w:style>
  <w:style w:type="numbering" w:styleId="Listeul1">
    <w:name w:val="liste_ul"/>
    <w:qFormat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 standalone="yes"?>

<Relationships  xmlns="http://schemas.openxmlformats.org/package/2006/relationships">
<Relationship Id="rId1" Type="http://schemas.openxmlformats.org/officeDocument/2006/relationships/numbering" Target="numbering.xml"/>
<Relationship Id="rId2" Type="http://schemas.openxmlformats.org/officeDocument/2006/relationships/styles" Target="styles.xml"/>
<Relationship Id="rId3" Type="http://schemas.openxmlformats.org/officeDocument/2006/relationships/settings" Target="settings.xml"/>
<Relationship Id="rId4" Type="http://schemas.openxmlformats.org/officeDocument/2006/relationships/webSettings" Target="webSettings.xml"/>
<Relationship Id="rId5" Type="http://schemas.openxmlformats.org/officeDocument/2006/relationships/fontTable" Target="fontTable.xml"/>
<Relationship Id="rId6" Type="http://schemas.openxmlformats.org/officeDocument/2006/relationships/theme" Target="theme/theme1.xml"/>
<Relationship Id="rId7" Type="http://schemas.openxmlformats.org/officeDocument/2006/relationships/footnotes" Target="footnotes.xml"/>
<Relationship Id="rId8" Type="http://schemas.openxmlformats.org/officeDocument/2006/relationships/comments" Target="comments.xml"/>
<Relationship Id="rId9" Type="http://schemas.openxmlformats.org/officeDocument/2006/relationships/footer" Target="footer1.xml"/>
<Relationship Id="rId24" Type="http://schemas.openxmlformats.org/officeDocument/2006/relationships/hyperlink" Target="https://opendata.reseaux-energies.fr/explore/dataset/consommation-annuelle-brute-regionale/" TargetMode="External"/>
<Relationship Id="rId27" Type="http://schemas.openxmlformats.org/officeDocument/2006/relationships/hyperlink" Target="https://opendata.reseaux-energies.fr/explore/dataset/prod-region-annuelle-enr/" TargetMode="External"/>
<Relationship Id="rId22" Type="http://schemas.openxmlformats.org/officeDocument/2006/relationships/hyperlink" Target="https://www.statistiques.developpement-durable.gouv.fr/indice-de-rigueur-degres-jours-unifies-aux-niveaux-national-regional-et-departemental?rubrique=23&amp;dossier=189" TargetMode="External"/>
<Relationship Id="rId29" Type="http://schemas.openxmlformats.org/officeDocument/2006/relationships/hyperlink" Target="https://www.statistiques.developpement-durable.gouv.fr/sites/default/files/2018-10/datalab-essentiel-155-enr-france-2017-octobre2018.pdf" TargetMode="External"/>
<Relationship Id="rId30" Type="http://schemas.openxmlformats.org/officeDocument/2006/relationships/image" Target="media/file4c7ce11440.svg"/>
<Relationship Id="rId31" Type="http://schemas.openxmlformats.org/officeDocument/2006/relationships/image" Target="media/file4c7c2cd97fe4.svg"/>
</Relationships>

</file>

<file path=word/_rels/footnotes.xml.rels><?xml version="1.0" encoding="UTF-8" standalone="yes"?>

<Relationships  xmlns="http://schemas.openxmlformats.org/package/2006/relationships">
<Relationship Id="rId24" Type="http://schemas.openxmlformats.org/officeDocument/2006/relationships/hyperlink" Target="https://opendata.reseaux-energies.fr/explore/dataset/consommation-annuelle-brute-regionale/" TargetMode="External"/>
<Relationship Id="rId27" Type="http://schemas.openxmlformats.org/officeDocument/2006/relationships/hyperlink" Target="https://opendata.reseaux-energies.fr/explore/dataset/prod-region-annuelle-enr/" TargetMode="External"/>
<Relationship Id="rId22" Type="http://schemas.openxmlformats.org/officeDocument/2006/relationships/hyperlink" Target="https://www.statistiques.developpement-durable.gouv.fr/indice-de-rigueur-degres-jours-unifies-aux-niveaux-national-regional-et-departemental?rubrique=23&amp;dossier=189" TargetMode="External"/>
<Relationship Id="rId29" Type="http://schemas.openxmlformats.org/officeDocument/2006/relationships/hyperlink" Target="https://www.statistiques.developpement-durable.gouv.fr/sites/default/files/2018-10/datalab-essentiel-155-enr-france-2017-octobre2018.pdf" TargetMode="Externa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LibreOffice/6.1.6.3.M14$Windows_X86_64 LibreOffice_project/41ee200cf4757de946a4b979e90b833b328d1531</Application>
  <Pages>24</Pages>
  <Words>4594</Words>
  <Characters>23845</Characters>
  <CharactersWithSpaces>27940</CharactersWithSpaces>
  <Paragraphs>561</Paragraphs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Bilan économique et social régional</dc:title>
  <dc:creator>Juliette Engelaere-Lefebvre</dc:creator>
  <cp:keywords/>
  <dcterms:created xsi:type="dcterms:W3CDTF">2021-04-09T09:40:26Z</dcterms:created>
  <dcterms:modified xsi:type="dcterms:W3CDTF">2021-04-09T11:40:27Z</dcterms:modified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15/03/2021 (actualisé : 09/04/2021)</vt:lpwstr>
  </property>
  <property fmtid="{D5CDD505-2E9C-101B-9397-08002B2CF9AE}" pid="3" name="output">
    <vt:lpwstr/>
  </property>
  <property fmtid="{D5CDD505-2E9C-101B-9397-08002B2CF9AE}" pid="4" name="params">
    <vt:lpwstr/>
  </property>
  <property fmtid="{D5CDD505-2E9C-101B-9397-08002B2CF9AE}" pid="5" name="subtitle">
    <vt:lpwstr>Pages énergie climat air</vt:lpwstr>
  </property>
</Properties>
</file>